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4941" w14:textId="2D913FF7" w:rsidR="000A42FC" w:rsidRPr="00544731" w:rsidRDefault="00387B0D" w:rsidP="000C67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731">
        <w:rPr>
          <w:rFonts w:ascii="Arial" w:hAnsi="Arial" w:cs="Arial"/>
          <w:b/>
          <w:bCs/>
          <w:sz w:val="24"/>
          <w:szCs w:val="24"/>
        </w:rPr>
        <w:t>Psi Beta National Research Project</w:t>
      </w:r>
    </w:p>
    <w:p w14:paraId="3467A1B3" w14:textId="77777777" w:rsidR="00D95640" w:rsidRDefault="00684054">
      <w:pPr>
        <w:rPr>
          <w:rFonts w:ascii="Arial" w:hAnsi="Arial" w:cs="Arial"/>
        </w:rPr>
      </w:pPr>
      <w:r>
        <w:rPr>
          <w:rFonts w:ascii="Arial" w:hAnsi="Arial" w:cs="Arial"/>
        </w:rPr>
        <w:t>Complete project data was downloaded on February 29</w:t>
      </w:r>
      <w:r w:rsidR="00387B0D" w:rsidRPr="00544731">
        <w:rPr>
          <w:rFonts w:ascii="Arial" w:hAnsi="Arial" w:cs="Arial"/>
        </w:rPr>
        <w:t>, 2020. The file was formatted in SPSS</w:t>
      </w:r>
      <w:r w:rsidR="000C6747" w:rsidRPr="00544731">
        <w:rPr>
          <w:rFonts w:ascii="Arial" w:hAnsi="Arial" w:cs="Arial"/>
        </w:rPr>
        <w:t xml:space="preserve"> and Excel</w:t>
      </w:r>
      <w:r>
        <w:rPr>
          <w:rFonts w:ascii="Arial" w:hAnsi="Arial" w:cs="Arial"/>
        </w:rPr>
        <w:t xml:space="preserve"> on March 9, 2020.</w:t>
      </w:r>
      <w:r w:rsidR="00854127">
        <w:rPr>
          <w:rFonts w:ascii="Arial" w:hAnsi="Arial" w:cs="Arial"/>
        </w:rPr>
        <w:t xml:space="preserve"> The file contains 1,248 cases! Thank you to the Psi Beta chapters and their members who made this study possible. </w:t>
      </w:r>
    </w:p>
    <w:p w14:paraId="28DB19CA" w14:textId="2009D61C" w:rsidR="00387B0D" w:rsidRPr="00544731" w:rsidRDefault="0085412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535FD34D" w14:textId="5188BD05" w:rsidR="000C6747" w:rsidRDefault="000C6747">
      <w:pPr>
        <w:rPr>
          <w:rFonts w:ascii="Arial" w:hAnsi="Arial" w:cs="Arial"/>
        </w:rPr>
      </w:pPr>
      <w:r w:rsidRPr="00544731">
        <w:rPr>
          <w:rFonts w:ascii="Arial" w:hAnsi="Arial" w:cs="Arial"/>
        </w:rPr>
        <w:t>Some important details:</w:t>
      </w:r>
    </w:p>
    <w:p w14:paraId="05C83745" w14:textId="67EE07CE" w:rsidR="00B17EBC" w:rsidRPr="00B17EBC" w:rsidRDefault="00B17EBC" w:rsidP="00B17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7EBC">
        <w:rPr>
          <w:rFonts w:ascii="Arial" w:hAnsi="Arial" w:cs="Arial"/>
          <w:b/>
          <w:bCs/>
        </w:rPr>
        <w:t>Become familiar with the items used in this study</w:t>
      </w:r>
      <w:r>
        <w:rPr>
          <w:rFonts w:ascii="Arial" w:hAnsi="Arial" w:cs="Arial"/>
        </w:rPr>
        <w:t xml:space="preserve">. There are several published research articles from which most of the items were taken. One of the most important articles for you to have is by </w:t>
      </w:r>
      <w:proofErr w:type="spellStart"/>
      <w:r>
        <w:rPr>
          <w:rFonts w:ascii="Arial" w:hAnsi="Arial" w:cs="Arial"/>
        </w:rPr>
        <w:t>Ciarocco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Strohmetz</w:t>
      </w:r>
      <w:proofErr w:type="spellEnd"/>
      <w:r>
        <w:rPr>
          <w:rFonts w:ascii="Arial" w:hAnsi="Arial" w:cs="Arial"/>
        </w:rPr>
        <w:t xml:space="preserve"> (2016). That article describes the Employable Skills Self-Efficacy Survey: An assessment of and resource for fostering skill development. </w:t>
      </w:r>
    </w:p>
    <w:p w14:paraId="090439D8" w14:textId="35A044AF" w:rsidR="00387B0D" w:rsidRDefault="000C6747" w:rsidP="000C67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  <w:b/>
          <w:bCs/>
        </w:rPr>
        <w:t>Reverse coding of items</w:t>
      </w:r>
      <w:r w:rsidRPr="00544731">
        <w:rPr>
          <w:rFonts w:ascii="Arial" w:hAnsi="Arial" w:cs="Arial"/>
        </w:rPr>
        <w:t xml:space="preserve">. Some items from the scales are stated in negative terms. These items required reverse coding so the scale scores would make sense. </w:t>
      </w:r>
      <w:r w:rsidR="00387B0D" w:rsidRPr="00544731">
        <w:rPr>
          <w:rFonts w:ascii="Arial" w:hAnsi="Arial" w:cs="Arial"/>
        </w:rPr>
        <w:t xml:space="preserve">Note that all items </w:t>
      </w:r>
      <w:r w:rsidR="006C5BE3">
        <w:rPr>
          <w:rFonts w:ascii="Arial" w:hAnsi="Arial" w:cs="Arial"/>
        </w:rPr>
        <w:t xml:space="preserve">that </w:t>
      </w:r>
      <w:r w:rsidR="00387B0D" w:rsidRPr="00544731">
        <w:rPr>
          <w:rFonts w:ascii="Arial" w:hAnsi="Arial" w:cs="Arial"/>
        </w:rPr>
        <w:t>needed reverse coding have been reverse coded. Do NOT reverse code them again or you’ll have faulty data.</w:t>
      </w:r>
      <w:r w:rsidR="00684054">
        <w:rPr>
          <w:rFonts w:ascii="Arial" w:hAnsi="Arial" w:cs="Arial"/>
        </w:rPr>
        <w:t xml:space="preserve"> Most of the reverse coded items appear in the ESSES instrument.</w:t>
      </w:r>
    </w:p>
    <w:p w14:paraId="3F71304E" w14:textId="0CF6F68B" w:rsidR="00684054" w:rsidRDefault="00684054" w:rsidP="000C67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Interpretation of reverse code items might be confusing, so be careful</w:t>
      </w:r>
      <w:r w:rsidRPr="006840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example, item E4 from the ESSES is stated this way:</w:t>
      </w:r>
    </w:p>
    <w:p w14:paraId="795CF6C1" w14:textId="2B091B31" w:rsidR="00684054" w:rsidRDefault="00684054" w:rsidP="0068405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84054">
        <w:rPr>
          <w:rFonts w:ascii="Arial" w:hAnsi="Arial" w:cs="Arial"/>
          <w:i/>
          <w:iCs/>
        </w:rPr>
        <w:t>I struggle to manipulate numbers in a spreadsheet</w:t>
      </w:r>
      <w:r w:rsidRPr="006840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Response options to this item were 1 (Strongly Disagree), 2, 3, 4, 5, 6 (Strongly Agree). While taking the questionnaire, if a participant chose Strongly Disagree for her answer, she was assigned a “1” for this item. When we reversed the scoring for all “reverse coded” items, this student was assigned a 6  meaning this: Because she indicated that she does not struggle with manipulating numbers in a spreadsheet, she should get a “6” and not a “1”. Reverse coding is easy to do with </w:t>
      </w:r>
      <w:r w:rsidR="008D6504">
        <w:rPr>
          <w:rFonts w:ascii="Arial" w:hAnsi="Arial" w:cs="Arial"/>
        </w:rPr>
        <w:t>SPSS. If you look at the codebook for this study, you’ll see the items which needed reverse coding. Again, all such items already have been reverse-coded in the SPSS and the Excel versions of the data files. For the ESSES items requiring reverse coding, here’s what was done: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15"/>
        <w:gridCol w:w="2250"/>
      </w:tblGrid>
      <w:tr w:rsidR="008D6504" w14:paraId="4719A63D" w14:textId="77777777" w:rsidTr="008D6504">
        <w:tc>
          <w:tcPr>
            <w:tcW w:w="2515" w:type="dxa"/>
          </w:tcPr>
          <w:p w14:paraId="767CE203" w14:textId="5B6CD56D" w:rsidR="008D6504" w:rsidRDefault="008D6504" w:rsidP="008D6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reverse coding</w:t>
            </w:r>
          </w:p>
        </w:tc>
        <w:tc>
          <w:tcPr>
            <w:tcW w:w="2250" w:type="dxa"/>
          </w:tcPr>
          <w:p w14:paraId="2FF78E44" w14:textId="0151B8CE" w:rsidR="008D6504" w:rsidRDefault="008D6504" w:rsidP="008D6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reverse coding</w:t>
            </w:r>
          </w:p>
        </w:tc>
      </w:tr>
      <w:tr w:rsidR="008D6504" w14:paraId="1052C5BA" w14:textId="77777777" w:rsidTr="008D6504">
        <w:tc>
          <w:tcPr>
            <w:tcW w:w="2515" w:type="dxa"/>
          </w:tcPr>
          <w:p w14:paraId="3E0B3C57" w14:textId="372B643E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14:paraId="5016A8B3" w14:textId="55915501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D6504" w14:paraId="2624B18F" w14:textId="77777777" w:rsidTr="008D6504">
        <w:tc>
          <w:tcPr>
            <w:tcW w:w="2515" w:type="dxa"/>
          </w:tcPr>
          <w:p w14:paraId="52783D39" w14:textId="16B17B37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14:paraId="69D18693" w14:textId="4376DBF5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D6504" w14:paraId="036DF4AF" w14:textId="77777777" w:rsidTr="008D6504">
        <w:tc>
          <w:tcPr>
            <w:tcW w:w="2515" w:type="dxa"/>
          </w:tcPr>
          <w:p w14:paraId="68BC93F6" w14:textId="31D0A002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14:paraId="25853C7B" w14:textId="41E1229E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D6504" w14:paraId="201D2C0B" w14:textId="77777777" w:rsidTr="008D6504">
        <w:tc>
          <w:tcPr>
            <w:tcW w:w="2515" w:type="dxa"/>
          </w:tcPr>
          <w:p w14:paraId="2C508151" w14:textId="2B973AF4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14:paraId="277DCC8E" w14:textId="74F9CE5A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D6504" w14:paraId="0E6AE7B1" w14:textId="77777777" w:rsidTr="008D6504">
        <w:tc>
          <w:tcPr>
            <w:tcW w:w="2515" w:type="dxa"/>
          </w:tcPr>
          <w:p w14:paraId="1A2F6E47" w14:textId="63BD6E64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14:paraId="28A649D3" w14:textId="2E6E536C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D6504" w14:paraId="4B69740E" w14:textId="77777777" w:rsidTr="008D6504">
        <w:tc>
          <w:tcPr>
            <w:tcW w:w="2515" w:type="dxa"/>
          </w:tcPr>
          <w:p w14:paraId="36472214" w14:textId="7540E4AA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14:paraId="61F33C9E" w14:textId="59833278" w:rsidR="008D6504" w:rsidRDefault="008D6504" w:rsidP="008D65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764EF42" w14:textId="77777777" w:rsidR="008D6504" w:rsidRPr="008D6504" w:rsidRDefault="008D6504" w:rsidP="008D6504">
      <w:pPr>
        <w:ind w:left="1080"/>
        <w:rPr>
          <w:rFonts w:ascii="Arial" w:hAnsi="Arial" w:cs="Arial"/>
        </w:rPr>
      </w:pPr>
    </w:p>
    <w:p w14:paraId="2223B008" w14:textId="6E15639F" w:rsidR="00A36F44" w:rsidRPr="00544731" w:rsidRDefault="00A36F44" w:rsidP="00A36F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  <w:b/>
          <w:bCs/>
        </w:rPr>
        <w:t xml:space="preserve">Interpersonal Communication </w:t>
      </w:r>
      <w:r w:rsidR="000C6747" w:rsidRPr="00544731">
        <w:rPr>
          <w:rFonts w:ascii="Arial" w:hAnsi="Arial" w:cs="Arial"/>
          <w:b/>
          <w:bCs/>
        </w:rPr>
        <w:t xml:space="preserve">Subscale scores </w:t>
      </w:r>
      <w:r w:rsidR="000C6747" w:rsidRPr="00544731">
        <w:rPr>
          <w:rFonts w:ascii="Arial" w:hAnsi="Arial" w:cs="Arial"/>
        </w:rPr>
        <w:t>– The scale items have been computed into new variables. These new variables are listed at the end of the variable list shown in SPSS’s “Variable View.”  Here they are:</w:t>
      </w:r>
    </w:p>
    <w:p w14:paraId="2B1CC6E5" w14:textId="7192A728" w:rsidR="000C6747" w:rsidRPr="00544731" w:rsidRDefault="000C6747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IVC_Eff_init_Conversations – This is the total scale score for the IVC Interpersonal Communications instrument – items 1 to 9 = Self-Efficacy for Initiating Conversations</w:t>
      </w:r>
    </w:p>
    <w:p w14:paraId="61E2A1B9" w14:textId="4CB7DBEE" w:rsidR="000C6747" w:rsidRPr="00544731" w:rsidRDefault="000C6747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lastRenderedPageBreak/>
        <w:t>IVC_Eff_Balanced_Conversations – This is the total scale score for the IVC Interpersonal Communications instrument – items 10 to 15 = Efficacy for Having a Balanced Conversation</w:t>
      </w:r>
    </w:p>
    <w:p w14:paraId="447D1732" w14:textId="3D49211A" w:rsidR="000C6747" w:rsidRPr="00544731" w:rsidRDefault="000C6747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ICQ_Conversation_Initiation_</w:t>
      </w:r>
      <w:r w:rsidR="00A36F44" w:rsidRPr="00544731">
        <w:rPr>
          <w:rFonts w:ascii="Arial" w:hAnsi="Arial" w:cs="Arial"/>
        </w:rPr>
        <w:t>Scale</w:t>
      </w:r>
      <w:r w:rsidRPr="00544731">
        <w:rPr>
          <w:rFonts w:ascii="Arial" w:hAnsi="Arial" w:cs="Arial"/>
        </w:rPr>
        <w:t>l – items 1 to 8</w:t>
      </w:r>
      <w:r w:rsidR="00A36F44" w:rsidRPr="00544731">
        <w:rPr>
          <w:rFonts w:ascii="Arial" w:hAnsi="Arial" w:cs="Arial"/>
        </w:rPr>
        <w:t xml:space="preserve"> = Efficacy for Initiating a Conversation</w:t>
      </w:r>
    </w:p>
    <w:p w14:paraId="12F5209D" w14:textId="20D020DC" w:rsidR="00A36F44" w:rsidRPr="00544731" w:rsidRDefault="00A36F44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ICQ Conversation Disclosure Scale – items 9 to 16 = Efficacy for Disclosure While Conversing</w:t>
      </w:r>
    </w:p>
    <w:p w14:paraId="6B896612" w14:textId="7E4D0494" w:rsidR="00A36F44" w:rsidRPr="00544731" w:rsidRDefault="00A36F44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ICCS _Disclosure_Subscale – three items</w:t>
      </w:r>
    </w:p>
    <w:p w14:paraId="7F6856A1" w14:textId="704A2D2F" w:rsidR="00A36F44" w:rsidRPr="00544731" w:rsidRDefault="00A36F44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ICCS _Emphathy_Subscale – three items</w:t>
      </w:r>
    </w:p>
    <w:p w14:paraId="68B45BE2" w14:textId="24A457D0" w:rsidR="00A36F44" w:rsidRPr="00544731" w:rsidRDefault="00A36F44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ICCS_Social_Relaxation_Subscale – three items</w:t>
      </w:r>
    </w:p>
    <w:p w14:paraId="4FC995C3" w14:textId="207534B9" w:rsidR="00A36F44" w:rsidRPr="00544731" w:rsidRDefault="00A36F44" w:rsidP="000C674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ICCS_Altercentrism_Subscale – three items</w:t>
      </w:r>
    </w:p>
    <w:p w14:paraId="35B94209" w14:textId="0C70C9E4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ICCS_Interaction_Mgt_Subscale-three items</w:t>
      </w:r>
    </w:p>
    <w:p w14:paraId="5DFDEDA4" w14:textId="5AF84FA4" w:rsidR="00A36F44" w:rsidRPr="00544731" w:rsidRDefault="00A36F44" w:rsidP="00A36F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4731">
        <w:rPr>
          <w:rFonts w:ascii="Arial" w:hAnsi="Arial" w:cs="Arial"/>
          <w:b/>
          <w:bCs/>
        </w:rPr>
        <w:t>Subscales from the ESSES (Employable Skills Self-Efficacy Survey)</w:t>
      </w:r>
      <w:r w:rsidR="00A15BD0">
        <w:rPr>
          <w:rFonts w:ascii="Arial" w:hAnsi="Arial" w:cs="Arial"/>
          <w:b/>
          <w:bCs/>
        </w:rPr>
        <w:t xml:space="preserve"> </w:t>
      </w:r>
      <w:r w:rsidR="00A15BD0">
        <w:rPr>
          <w:rFonts w:ascii="Arial" w:hAnsi="Arial" w:cs="Arial"/>
          <w:b/>
          <w:bCs/>
        </w:rPr>
        <w:br/>
        <w:t xml:space="preserve">Note: sub-scales have been computed and. Responses to each item in the study and all sub-scale scores are included in the datafile. Note: for clarity, </w:t>
      </w:r>
    </w:p>
    <w:p w14:paraId="0A88A40C" w14:textId="4297CECB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Writing</w:t>
      </w:r>
    </w:p>
    <w:p w14:paraId="54E507F4" w14:textId="73D0BEB3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Speaking</w:t>
      </w:r>
    </w:p>
    <w:p w14:paraId="2A30E0B9" w14:textId="24D1F621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Listening</w:t>
      </w:r>
    </w:p>
    <w:p w14:paraId="4D4E43F3" w14:textId="3E4B42A1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Research_Skills</w:t>
      </w:r>
    </w:p>
    <w:p w14:paraId="6847E291" w14:textId="5297635A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Info_Lit_Skills – Information Literacy Skills</w:t>
      </w:r>
    </w:p>
    <w:p w14:paraId="14CB5062" w14:textId="4B219F97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Groupwork_Skills</w:t>
      </w:r>
    </w:p>
    <w:p w14:paraId="63F45332" w14:textId="302CF25D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Leadership_Skills</w:t>
      </w:r>
    </w:p>
    <w:p w14:paraId="475AAA42" w14:textId="375D77F9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Self-Mgt – Self-Management</w:t>
      </w:r>
    </w:p>
    <w:p w14:paraId="17D052B7" w14:textId="3EA05EBB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Professional_Skills</w:t>
      </w:r>
    </w:p>
    <w:p w14:paraId="295EFDFB" w14:textId="58AEA071" w:rsidR="00A36F44" w:rsidRPr="00544731" w:rsidRDefault="00A36F44" w:rsidP="00A36F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44731">
        <w:rPr>
          <w:rFonts w:ascii="Arial" w:hAnsi="Arial" w:cs="Arial"/>
        </w:rPr>
        <w:t>Technological_Skills</w:t>
      </w:r>
    </w:p>
    <w:p w14:paraId="0BA63451" w14:textId="77777777" w:rsidR="00A36F44" w:rsidRPr="00544731" w:rsidRDefault="00A36F44" w:rsidP="00A36F44">
      <w:pPr>
        <w:pStyle w:val="ListParagraph"/>
        <w:ind w:left="1440"/>
        <w:rPr>
          <w:rFonts w:ascii="Arial" w:hAnsi="Arial" w:cs="Arial"/>
        </w:rPr>
      </w:pPr>
    </w:p>
    <w:p w14:paraId="4FA4F6AE" w14:textId="47617F0E" w:rsidR="00387B0D" w:rsidRPr="00544731" w:rsidRDefault="00A64282">
      <w:pPr>
        <w:rPr>
          <w:rFonts w:ascii="Arial" w:hAnsi="Arial" w:cs="Arial"/>
        </w:rPr>
      </w:pPr>
      <w:r>
        <w:rPr>
          <w:rFonts w:ascii="Arial" w:hAnsi="Arial" w:cs="Arial"/>
        </w:rPr>
        <w:t>Some notes</w:t>
      </w:r>
      <w:r w:rsidR="00544731" w:rsidRPr="00544731">
        <w:rPr>
          <w:rFonts w:ascii="Arial" w:hAnsi="Arial" w:cs="Arial"/>
        </w:rPr>
        <w:t xml:space="preserve"> about efficacy.</w:t>
      </w:r>
      <w:r>
        <w:rPr>
          <w:rFonts w:ascii="Arial" w:hAnsi="Arial" w:cs="Arial"/>
        </w:rPr>
        <w:t xml:space="preserve"> </w:t>
      </w:r>
      <w:r w:rsidRPr="00A15BD0">
        <w:rPr>
          <w:rFonts w:ascii="Arial" w:hAnsi="Arial" w:cs="Arial"/>
        </w:rPr>
        <w:t>Efficacy is not a measure of ability</w:t>
      </w:r>
      <w:r>
        <w:rPr>
          <w:rFonts w:ascii="Arial" w:hAnsi="Arial" w:cs="Arial"/>
        </w:rPr>
        <w:t>, but one’s self-perception of having the ability or skill. However, if one has participated in coursework and activities designed to teach the ability, it is reasonable that a person will self-score higher on that ability.</w:t>
      </w:r>
      <w:r w:rsidR="00544731" w:rsidRPr="00544731">
        <w:rPr>
          <w:rFonts w:ascii="Arial" w:hAnsi="Arial" w:cs="Arial"/>
        </w:rPr>
        <w:t xml:space="preserve"> </w:t>
      </w:r>
      <w:r w:rsidR="00544731" w:rsidRPr="00A64282">
        <w:rPr>
          <w:rFonts w:ascii="Arial" w:hAnsi="Arial" w:cs="Arial"/>
          <w:u w:val="single"/>
        </w:rPr>
        <w:t>Efficacy is domain specific</w:t>
      </w:r>
      <w:r w:rsidR="00544731" w:rsidRPr="00544731">
        <w:rPr>
          <w:rFonts w:ascii="Arial" w:hAnsi="Arial" w:cs="Arial"/>
        </w:rPr>
        <w:t xml:space="preserve">. That is – a person can have high self-efficacy for math, and low self-efficacy for, say, writing. Efficacy is like self-confidence about one’s ability to learn, master, or perform. Efficacy should not to be confused with ability. Efficacy and ability are independent, but a person with high efficacy in a domain that he/she is trying to learn or master is more likely to stick with it despite setbacks. </w:t>
      </w:r>
      <w:r w:rsidR="00A15BD0">
        <w:rPr>
          <w:rFonts w:ascii="Arial" w:hAnsi="Arial" w:cs="Arial"/>
        </w:rPr>
        <w:t>If you prepare a poster and/or write a research report using this data, be sure to  mention (in your Discussion section) that one of the weaknesses of your findings is that the data relied on self-reporting by the participants and the study did not have more direct measures of the skills (e.g., communication, collaboration, communication, and so on) covered in this study.</w:t>
      </w:r>
    </w:p>
    <w:sectPr w:rsidR="00387B0D" w:rsidRPr="0054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017B"/>
    <w:multiLevelType w:val="hybridMultilevel"/>
    <w:tmpl w:val="D9F8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MzAwNTA3NrAA0ko6SsGpxcWZ+XkgBca1AAmtIr4sAAAA"/>
  </w:docVars>
  <w:rsids>
    <w:rsidRoot w:val="00387B0D"/>
    <w:rsid w:val="000A42FC"/>
    <w:rsid w:val="000C6747"/>
    <w:rsid w:val="00387B0D"/>
    <w:rsid w:val="00544731"/>
    <w:rsid w:val="00684054"/>
    <w:rsid w:val="006C5BE3"/>
    <w:rsid w:val="00854127"/>
    <w:rsid w:val="008D6504"/>
    <w:rsid w:val="00A15BD0"/>
    <w:rsid w:val="00A36F44"/>
    <w:rsid w:val="00A64282"/>
    <w:rsid w:val="00B17EBC"/>
    <w:rsid w:val="00C44759"/>
    <w:rsid w:val="00D95640"/>
    <w:rsid w:val="00E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8C5B"/>
  <w15:chartTrackingRefBased/>
  <w15:docId w15:val="{AC4A8797-6903-4156-9599-57F2D1D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47"/>
    <w:pPr>
      <w:ind w:left="720"/>
      <w:contextualSpacing/>
    </w:pPr>
  </w:style>
  <w:style w:type="table" w:styleId="TableGrid">
    <w:name w:val="Table Grid"/>
    <w:basedOn w:val="TableNormal"/>
    <w:uiPriority w:val="39"/>
    <w:rsid w:val="008D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Rudmann</dc:creator>
  <cp:keywords/>
  <dc:description/>
  <cp:lastModifiedBy>Jerald Rudmann</cp:lastModifiedBy>
  <cp:revision>11</cp:revision>
  <dcterms:created xsi:type="dcterms:W3CDTF">2020-03-09T14:26:00Z</dcterms:created>
  <dcterms:modified xsi:type="dcterms:W3CDTF">2020-03-09T15:23:00Z</dcterms:modified>
</cp:coreProperties>
</file>